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E4DC" w14:textId="77777777" w:rsidR="005549A1" w:rsidRPr="00D8303E" w:rsidRDefault="00BF0CEE">
      <w:pPr>
        <w:rPr>
          <w:color w:val="000000" w:themeColor="text1"/>
        </w:rPr>
      </w:pPr>
      <w:r>
        <w:rPr>
          <w:color w:val="000000" w:themeColor="text1"/>
        </w:rPr>
        <w:t>This Supplier Agreement is concluded between</w:t>
      </w:r>
    </w:p>
    <w:p w14:paraId="58F4817F" w14:textId="08D3A664" w:rsidR="00BF0CEE" w:rsidRPr="00D8303E" w:rsidRDefault="00BF0CEE">
      <w:pPr>
        <w:rPr>
          <w:bCs/>
          <w:color w:val="000000" w:themeColor="text1"/>
        </w:rPr>
      </w:pPr>
      <w:r>
        <w:rPr>
          <w:bCs/>
          <w:color w:val="000000" w:themeColor="text1"/>
        </w:rPr>
        <w:t>a) HAJDU Hajdúsági Ipari Zártkörűen Működő Részvénytársaság (Company registration number: 09-10-000396; Tax number: 13560281-2-09; Statistical code: 13560281-2751-114-09; Registered office: 4243 Téglás, 0135/9; Represented by: István Novotni) as the Buyer,</w:t>
      </w:r>
    </w:p>
    <w:p w14:paraId="3718BA1B" w14:textId="77777777" w:rsidR="00BF0CEE" w:rsidRPr="00D8303E" w:rsidRDefault="00BF0CEE">
      <w:pPr>
        <w:rPr>
          <w:bCs/>
          <w:color w:val="000000" w:themeColor="text1"/>
        </w:rPr>
      </w:pPr>
      <w:r>
        <w:rPr>
          <w:bCs/>
          <w:color w:val="000000" w:themeColor="text1"/>
        </w:rPr>
        <w:t>and</w:t>
      </w:r>
    </w:p>
    <w:p w14:paraId="4AA876E6" w14:textId="77777777" w:rsidR="00BF0CEE" w:rsidRPr="00D8303E" w:rsidRDefault="00BF0CEE">
      <w:pPr>
        <w:rPr>
          <w:color w:val="000000" w:themeColor="text1"/>
        </w:rPr>
      </w:pPr>
      <w:r>
        <w:rPr>
          <w:color w:val="000000" w:themeColor="text1"/>
        </w:rPr>
        <w:t>b) ………………………………………………………………………………, as the Supplier,</w:t>
      </w:r>
    </w:p>
    <w:p w14:paraId="3BE62E45" w14:textId="77777777" w:rsidR="00BF0CEE" w:rsidRPr="00D8303E" w:rsidRDefault="00BF0CEE">
      <w:pPr>
        <w:rPr>
          <w:color w:val="000000" w:themeColor="text1"/>
        </w:rPr>
      </w:pPr>
      <w:r>
        <w:rPr>
          <w:color w:val="000000" w:themeColor="text1"/>
        </w:rPr>
        <w:t>(hereinafter jointly referred to as the "Parties").</w:t>
      </w:r>
    </w:p>
    <w:p w14:paraId="0889E94F" w14:textId="77777777" w:rsidR="00BF0CEE" w:rsidRPr="00D8303E" w:rsidRDefault="00BF0CEE">
      <w:pPr>
        <w:rPr>
          <w:color w:val="000000" w:themeColor="text1"/>
        </w:rPr>
      </w:pPr>
    </w:p>
    <w:p w14:paraId="22A00F2D" w14:textId="282A0D9D" w:rsidR="00425F02" w:rsidRPr="00D8303E" w:rsidRDefault="00425F02" w:rsidP="00425F02">
      <w:pPr>
        <w:rPr>
          <w:color w:val="000000" w:themeColor="text1"/>
        </w:rPr>
      </w:pPr>
      <w:r>
        <w:rPr>
          <w:color w:val="000000" w:themeColor="text1"/>
        </w:rPr>
        <w:t>The Parties agree that they shall perform the agreement concluded between them in line with the “Supplier Manual” used as the standard terms and conditions of contract at the Buyer.</w:t>
      </w:r>
    </w:p>
    <w:p w14:paraId="7172EF76" w14:textId="77777777" w:rsidR="00425F02" w:rsidRPr="00D8303E" w:rsidRDefault="00425F02" w:rsidP="00425F02">
      <w:pPr>
        <w:rPr>
          <w:color w:val="000000" w:themeColor="text1"/>
        </w:rPr>
      </w:pPr>
      <w:r>
        <w:rPr>
          <w:color w:val="000000" w:themeColor="text1"/>
        </w:rPr>
        <w:t>The Supplier represents that, on this day, it has received the current version of the “Supplier Manual” and shall accept it as an inseparable annex to any contracts already concluded or to be entered into with the Buyer. Accordingly, the “Supplier Manual” shall become part of such contracts upon execution.</w:t>
      </w:r>
    </w:p>
    <w:p w14:paraId="615971F5" w14:textId="77777777" w:rsidR="00425F02" w:rsidRPr="00D8303E" w:rsidRDefault="00425F02" w:rsidP="00425F02">
      <w:pPr>
        <w:rPr>
          <w:color w:val="000000" w:themeColor="text1"/>
        </w:rPr>
      </w:pPr>
      <w:r>
        <w:rPr>
          <w:color w:val="000000" w:themeColor="text1"/>
        </w:rPr>
        <w:t xml:space="preserve">The Parties agree and the Supplier represents that the Supplier has reviewed the contents of the </w:t>
      </w:r>
      <w:r>
        <w:rPr>
          <w:b/>
          <w:color w:val="000000" w:themeColor="text1"/>
        </w:rPr>
        <w:t>Supplier Manual (</w:t>
      </w:r>
      <w:r>
        <w:rPr>
          <w:b/>
          <w:i/>
          <w:color w:val="000000" w:themeColor="text1"/>
        </w:rPr>
        <w:t>3rd edition</w:t>
      </w:r>
      <w:r>
        <w:rPr>
          <w:b/>
          <w:color w:val="000000" w:themeColor="text1"/>
        </w:rPr>
        <w:t>)</w:t>
      </w:r>
      <w:r>
        <w:rPr>
          <w:color w:val="000000" w:themeColor="text1"/>
        </w:rPr>
        <w:t xml:space="preserve"> issued by the Buyer, and the Parties accept it and they shall consider all conditions, expectations and requirements contained as mutually binding throughout their business relationship.</w:t>
      </w:r>
    </w:p>
    <w:p w14:paraId="3F75BA04" w14:textId="31C027E0" w:rsidR="00425F02" w:rsidRPr="00D8303E" w:rsidRDefault="00425F02" w:rsidP="00425F02">
      <w:pPr>
        <w:rPr>
          <w:bCs/>
          <w:color w:val="000000" w:themeColor="text1"/>
        </w:rPr>
      </w:pPr>
      <w:r>
        <w:rPr>
          <w:color w:val="000000" w:themeColor="text1"/>
        </w:rPr>
        <w:t xml:space="preserve">The Buyer may periodically review the contents and form of the “Supplier Manual” and </w:t>
      </w:r>
      <w:r w:rsidR="00F47015">
        <w:rPr>
          <w:color w:val="000000" w:themeColor="text1"/>
        </w:rPr>
        <w:t xml:space="preserve">put into force </w:t>
      </w:r>
      <w:r>
        <w:rPr>
          <w:color w:val="000000" w:themeColor="text1"/>
        </w:rPr>
        <w:t xml:space="preserve">any version of “Supplier Manual” with a distinctive marking. The current and </w:t>
      </w:r>
      <w:r w:rsidR="00342954">
        <w:rPr>
          <w:color w:val="000000" w:themeColor="text1"/>
        </w:rPr>
        <w:t>applicable</w:t>
      </w:r>
      <w:r>
        <w:rPr>
          <w:color w:val="000000" w:themeColor="text1"/>
        </w:rPr>
        <w:t xml:space="preserve"> version of the Supplier Manual and its annexes shall be made available on the website of </w:t>
      </w:r>
      <w:r>
        <w:rPr>
          <w:bCs/>
          <w:color w:val="000000" w:themeColor="text1"/>
        </w:rPr>
        <w:t>HAJDU Hajdúsági Ipari Zártkörűen Működő Részvénytársaság (</w:t>
      </w:r>
      <w:hyperlink r:id="rId6" w:history="1">
        <w:r>
          <w:rPr>
            <w:rStyle w:val="Hiperhivatkozs"/>
            <w:bCs/>
            <w:color w:val="000000" w:themeColor="text1"/>
          </w:rPr>
          <w:t>www.hajdurt.hu</w:t>
        </w:r>
      </w:hyperlink>
      <w:r>
        <w:rPr>
          <w:bCs/>
          <w:color w:val="000000" w:themeColor="text1"/>
        </w:rPr>
        <w:t>) under the Downloads/Supplier Manual menu item.</w:t>
      </w:r>
    </w:p>
    <w:p w14:paraId="226E0884" w14:textId="77777777" w:rsidR="00425F02" w:rsidRPr="00D8303E" w:rsidRDefault="00425F02" w:rsidP="00425F02">
      <w:pPr>
        <w:rPr>
          <w:color w:val="000000" w:themeColor="text1"/>
        </w:rPr>
      </w:pPr>
      <w:r>
        <w:rPr>
          <w:bCs/>
          <w:color w:val="000000" w:themeColor="text1"/>
        </w:rPr>
        <w:t>This Agreement shall remain in force until the Parties agree to put in force a new version of the Supplier Manual.</w:t>
      </w:r>
    </w:p>
    <w:p w14:paraId="4EE5DB91" w14:textId="77777777" w:rsidR="00A473C2" w:rsidRPr="00D8303E" w:rsidRDefault="00A473C2">
      <w:pPr>
        <w:rPr>
          <w:color w:val="000000" w:themeColor="text1"/>
        </w:rPr>
      </w:pPr>
    </w:p>
    <w:p w14:paraId="6D22C037" w14:textId="77777777" w:rsidR="007F6877" w:rsidRPr="00D8303E" w:rsidRDefault="007F6877">
      <w:pPr>
        <w:rPr>
          <w:color w:val="000000" w:themeColor="text1"/>
        </w:rPr>
      </w:pPr>
      <w:r>
        <w:rPr>
          <w:color w:val="000000" w:themeColor="text1"/>
        </w:rPr>
        <w:t>Signed:</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D8303E" w:rsidRPr="00D8303E" w14:paraId="74C109FD" w14:textId="77777777" w:rsidTr="007F6877">
        <w:tc>
          <w:tcPr>
            <w:tcW w:w="5102" w:type="dxa"/>
          </w:tcPr>
          <w:p w14:paraId="6934EB00" w14:textId="77777777" w:rsidR="007F6877" w:rsidRPr="00D8303E" w:rsidRDefault="007F6877" w:rsidP="007F6877">
            <w:pPr>
              <w:jc w:val="center"/>
              <w:rPr>
                <w:color w:val="000000" w:themeColor="text1"/>
              </w:rPr>
            </w:pPr>
          </w:p>
          <w:p w14:paraId="2E2843EE" w14:textId="77777777" w:rsidR="007F6877" w:rsidRPr="00D8303E" w:rsidRDefault="007F6877" w:rsidP="007F6877">
            <w:pPr>
              <w:jc w:val="center"/>
              <w:rPr>
                <w:color w:val="000000" w:themeColor="text1"/>
              </w:rPr>
            </w:pPr>
          </w:p>
          <w:p w14:paraId="59C2CEA3" w14:textId="77777777" w:rsidR="007F6877" w:rsidRPr="00D8303E" w:rsidRDefault="007F6877" w:rsidP="007F6877">
            <w:pPr>
              <w:jc w:val="center"/>
              <w:rPr>
                <w:color w:val="000000" w:themeColor="text1"/>
              </w:rPr>
            </w:pPr>
            <w:r>
              <w:rPr>
                <w:color w:val="000000" w:themeColor="text1"/>
              </w:rPr>
              <w:t>………………………………………………</w:t>
            </w:r>
          </w:p>
          <w:p w14:paraId="217E2081" w14:textId="77777777" w:rsidR="007F6877" w:rsidRPr="00D8303E" w:rsidRDefault="007F6877" w:rsidP="007F6877">
            <w:pPr>
              <w:jc w:val="center"/>
              <w:rPr>
                <w:color w:val="000000" w:themeColor="text1"/>
              </w:rPr>
            </w:pPr>
            <w:r>
              <w:rPr>
                <w:color w:val="000000" w:themeColor="text1"/>
              </w:rPr>
              <w:t>for HAJDU</w:t>
            </w:r>
          </w:p>
          <w:p w14:paraId="7EB1ADCE" w14:textId="77777777" w:rsidR="007F6877" w:rsidRPr="00D8303E" w:rsidRDefault="007F6877" w:rsidP="007F6877">
            <w:pPr>
              <w:jc w:val="center"/>
              <w:rPr>
                <w:color w:val="000000" w:themeColor="text1"/>
              </w:rPr>
            </w:pPr>
            <w:r>
              <w:rPr>
                <w:color w:val="000000" w:themeColor="text1"/>
              </w:rPr>
              <w:t>Stamp</w:t>
            </w:r>
          </w:p>
          <w:p w14:paraId="0165B9D7" w14:textId="77777777" w:rsidR="00BF0CEE" w:rsidRPr="00D8303E" w:rsidRDefault="00BF0CEE" w:rsidP="007F6877">
            <w:pPr>
              <w:jc w:val="center"/>
              <w:rPr>
                <w:color w:val="000000" w:themeColor="text1"/>
              </w:rPr>
            </w:pPr>
          </w:p>
        </w:tc>
        <w:tc>
          <w:tcPr>
            <w:tcW w:w="5102" w:type="dxa"/>
          </w:tcPr>
          <w:p w14:paraId="36972647" w14:textId="77777777" w:rsidR="007F6877" w:rsidRPr="00D8303E" w:rsidRDefault="007F6877" w:rsidP="007F6877">
            <w:pPr>
              <w:jc w:val="center"/>
              <w:rPr>
                <w:color w:val="000000" w:themeColor="text1"/>
              </w:rPr>
            </w:pPr>
          </w:p>
          <w:p w14:paraId="5FA43BF9" w14:textId="77777777" w:rsidR="007F6877" w:rsidRPr="00D8303E" w:rsidRDefault="007F6877" w:rsidP="007F6877">
            <w:pPr>
              <w:jc w:val="center"/>
              <w:rPr>
                <w:color w:val="000000" w:themeColor="text1"/>
              </w:rPr>
            </w:pPr>
          </w:p>
          <w:p w14:paraId="3A9D9E04" w14:textId="77777777" w:rsidR="007F6877" w:rsidRPr="00D8303E" w:rsidRDefault="007F6877" w:rsidP="007F6877">
            <w:pPr>
              <w:jc w:val="center"/>
              <w:rPr>
                <w:color w:val="000000" w:themeColor="text1"/>
              </w:rPr>
            </w:pPr>
            <w:r>
              <w:rPr>
                <w:color w:val="000000" w:themeColor="text1"/>
              </w:rPr>
              <w:t>………………………………………………</w:t>
            </w:r>
          </w:p>
          <w:p w14:paraId="4BC3E222" w14:textId="77777777" w:rsidR="007F6877" w:rsidRPr="00D8303E" w:rsidRDefault="007F6877" w:rsidP="007F6877">
            <w:pPr>
              <w:jc w:val="center"/>
              <w:rPr>
                <w:color w:val="000000" w:themeColor="text1"/>
              </w:rPr>
            </w:pPr>
            <w:r>
              <w:rPr>
                <w:color w:val="000000" w:themeColor="text1"/>
              </w:rPr>
              <w:t>for the Supplier</w:t>
            </w:r>
          </w:p>
          <w:p w14:paraId="34C714A9" w14:textId="77777777" w:rsidR="007F6877" w:rsidRPr="00D8303E" w:rsidRDefault="007F6877" w:rsidP="007F6877">
            <w:pPr>
              <w:jc w:val="center"/>
              <w:rPr>
                <w:color w:val="000000" w:themeColor="text1"/>
              </w:rPr>
            </w:pPr>
            <w:r>
              <w:rPr>
                <w:color w:val="000000" w:themeColor="text1"/>
              </w:rPr>
              <w:t>Stamp</w:t>
            </w:r>
          </w:p>
          <w:p w14:paraId="547056DC" w14:textId="77777777" w:rsidR="00BF0CEE" w:rsidRPr="00D8303E" w:rsidRDefault="00BF0CEE" w:rsidP="007F6877">
            <w:pPr>
              <w:jc w:val="center"/>
              <w:rPr>
                <w:color w:val="000000" w:themeColor="text1"/>
              </w:rPr>
            </w:pPr>
          </w:p>
        </w:tc>
      </w:tr>
      <w:tr w:rsidR="007F6877" w:rsidRPr="00D8303E" w14:paraId="31BEF0F1" w14:textId="77777777" w:rsidTr="007F6877">
        <w:tc>
          <w:tcPr>
            <w:tcW w:w="5102" w:type="dxa"/>
          </w:tcPr>
          <w:p w14:paraId="2CA92779" w14:textId="77777777" w:rsidR="007F6877" w:rsidRPr="00D8303E" w:rsidRDefault="007F6877" w:rsidP="007F6877">
            <w:pPr>
              <w:rPr>
                <w:color w:val="000000" w:themeColor="text1"/>
              </w:rPr>
            </w:pPr>
            <w:r>
              <w:rPr>
                <w:color w:val="000000" w:themeColor="text1"/>
              </w:rPr>
              <w:t>Date:</w:t>
            </w:r>
          </w:p>
          <w:p w14:paraId="705C0A78" w14:textId="77777777" w:rsidR="007F6877" w:rsidRPr="00D8303E" w:rsidRDefault="007F6877" w:rsidP="007F6877">
            <w:pPr>
              <w:rPr>
                <w:color w:val="000000" w:themeColor="text1"/>
              </w:rPr>
            </w:pPr>
            <w:r>
              <w:rPr>
                <w:color w:val="000000" w:themeColor="text1"/>
              </w:rPr>
              <w:t>Place:</w:t>
            </w:r>
          </w:p>
        </w:tc>
        <w:tc>
          <w:tcPr>
            <w:tcW w:w="5102" w:type="dxa"/>
          </w:tcPr>
          <w:p w14:paraId="160AA2AB" w14:textId="77777777" w:rsidR="007F6877" w:rsidRPr="00D8303E" w:rsidRDefault="007F6877" w:rsidP="007F6877">
            <w:pPr>
              <w:rPr>
                <w:color w:val="000000" w:themeColor="text1"/>
              </w:rPr>
            </w:pPr>
            <w:r>
              <w:rPr>
                <w:color w:val="000000" w:themeColor="text1"/>
              </w:rPr>
              <w:t>Date:</w:t>
            </w:r>
          </w:p>
          <w:p w14:paraId="310F4460" w14:textId="77777777" w:rsidR="007F6877" w:rsidRPr="00D8303E" w:rsidRDefault="007F6877" w:rsidP="007F6877">
            <w:pPr>
              <w:rPr>
                <w:color w:val="000000" w:themeColor="text1"/>
              </w:rPr>
            </w:pPr>
            <w:r>
              <w:rPr>
                <w:color w:val="000000" w:themeColor="text1"/>
              </w:rPr>
              <w:t>Place:</w:t>
            </w:r>
          </w:p>
        </w:tc>
      </w:tr>
    </w:tbl>
    <w:p w14:paraId="052E0DC5" w14:textId="77777777" w:rsidR="0063649D" w:rsidRPr="00D8303E" w:rsidRDefault="00342954">
      <w:pPr>
        <w:rPr>
          <w:bCs/>
          <w:color w:val="000000" w:themeColor="text1"/>
        </w:rPr>
      </w:pPr>
    </w:p>
    <w:p w14:paraId="52D2E53B" w14:textId="77777777" w:rsidR="0025719C" w:rsidRPr="00D8303E" w:rsidRDefault="0025719C">
      <w:pPr>
        <w:rPr>
          <w:bCs/>
          <w:color w:val="000000" w:themeColor="text1"/>
        </w:rPr>
      </w:pPr>
      <w:r>
        <w:rPr>
          <w:bCs/>
          <w:color w:val="000000" w:themeColor="text1"/>
        </w:rPr>
        <w:t>Attachment: Supplier Manual (3rd Edition)</w:t>
      </w:r>
    </w:p>
    <w:sectPr w:rsidR="0025719C" w:rsidRPr="00D8303E" w:rsidSect="007F6877">
      <w:headerReference w:type="default" r:id="rId7"/>
      <w:footerReference w:type="default" r:id="rId8"/>
      <w:pgSz w:w="11906" w:h="16838"/>
      <w:pgMar w:top="1417"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96CC" w14:textId="77777777" w:rsidR="004C4476" w:rsidRDefault="004C4476" w:rsidP="005549A1">
      <w:pPr>
        <w:spacing w:after="0"/>
      </w:pPr>
      <w:r>
        <w:separator/>
      </w:r>
    </w:p>
  </w:endnote>
  <w:endnote w:type="continuationSeparator" w:id="0">
    <w:p w14:paraId="4DCF19E6" w14:textId="77777777" w:rsidR="004C4476" w:rsidRDefault="004C4476" w:rsidP="00554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412110"/>
      <w:docPartObj>
        <w:docPartGallery w:val="Page Numbers (Bottom of Page)"/>
        <w:docPartUnique/>
      </w:docPartObj>
    </w:sdtPr>
    <w:sdtEndPr/>
    <w:sdtContent>
      <w:p w14:paraId="0DF0F6FD" w14:textId="7220A715" w:rsidR="000C35A4" w:rsidRDefault="000C35A4">
        <w:pPr>
          <w:pStyle w:val="llb"/>
          <w:jc w:val="right"/>
        </w:pPr>
        <w:r>
          <w:fldChar w:fldCharType="begin"/>
        </w:r>
        <w:r>
          <w:instrText>PAGE   \* MERGEFORMAT</w:instrText>
        </w:r>
        <w:r>
          <w:fldChar w:fldCharType="separate"/>
        </w:r>
        <w:r w:rsidR="00F47015">
          <w:rPr>
            <w:noProof/>
          </w:rPr>
          <w:t>1</w:t>
        </w:r>
        <w:r>
          <w:fldChar w:fldCharType="end"/>
        </w:r>
        <w:r>
          <w:t xml:space="preserve"> of </w:t>
        </w:r>
        <w:r w:rsidR="00594570">
          <w:rPr>
            <w:noProof/>
          </w:rPr>
          <w:fldChar w:fldCharType="begin"/>
        </w:r>
        <w:r w:rsidR="00594570">
          <w:rPr>
            <w:noProof/>
          </w:rPr>
          <w:instrText xml:space="preserve"> NUMPAGES   \* MERGEFORMAT </w:instrText>
        </w:r>
        <w:r w:rsidR="00594570">
          <w:rPr>
            <w:noProof/>
          </w:rPr>
          <w:fldChar w:fldCharType="separate"/>
        </w:r>
        <w:r w:rsidR="00F47015">
          <w:rPr>
            <w:noProof/>
          </w:rPr>
          <w:t>1</w:t>
        </w:r>
        <w:r w:rsidR="00594570">
          <w:rPr>
            <w:noProof/>
          </w:rPr>
          <w:fldChar w:fldCharType="end"/>
        </w:r>
      </w:p>
    </w:sdtContent>
  </w:sdt>
  <w:p w14:paraId="704002E0" w14:textId="77777777" w:rsidR="000C35A4" w:rsidRDefault="000C35A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76C3" w14:textId="77777777" w:rsidR="004C4476" w:rsidRDefault="004C4476" w:rsidP="005549A1">
      <w:pPr>
        <w:spacing w:after="0"/>
      </w:pPr>
      <w:r>
        <w:separator/>
      </w:r>
    </w:p>
  </w:footnote>
  <w:footnote w:type="continuationSeparator" w:id="0">
    <w:p w14:paraId="00E6AD25" w14:textId="77777777" w:rsidR="004C4476" w:rsidRDefault="004C4476" w:rsidP="005549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6428"/>
      <w:gridCol w:w="1951"/>
    </w:tblGrid>
    <w:tr w:rsidR="005549A1" w14:paraId="3C4B8A5C" w14:textId="77777777" w:rsidTr="005549A1">
      <w:trPr>
        <w:cantSplit/>
        <w:trHeight w:hRule="exact" w:val="600"/>
      </w:trPr>
      <w:tc>
        <w:tcPr>
          <w:tcW w:w="1828" w:type="dxa"/>
          <w:vMerge w:val="restart"/>
          <w:vAlign w:val="center"/>
        </w:tcPr>
        <w:p w14:paraId="46324757" w14:textId="77777777" w:rsidR="005549A1" w:rsidRPr="003C172B" w:rsidRDefault="005549A1" w:rsidP="00056D07">
          <w:pPr>
            <w:spacing w:after="0"/>
            <w:jc w:val="center"/>
            <w:rPr>
              <w:b/>
              <w:sz w:val="28"/>
              <w:szCs w:val="28"/>
            </w:rPr>
          </w:pPr>
          <w:r>
            <w:rPr>
              <w:b/>
              <w:noProof/>
              <w:sz w:val="28"/>
              <w:szCs w:val="28"/>
              <w:lang w:val="en-US" w:eastAsia="en-US"/>
            </w:rPr>
            <w:drawing>
              <wp:inline distT="0" distB="0" distL="0" distR="0" wp14:anchorId="2440908E" wp14:editId="5BF65434">
                <wp:extent cx="653415" cy="379730"/>
                <wp:effectExtent l="0" t="0" r="0" b="0"/>
                <wp:docPr id="3" name="Kép 3" descr="HajduI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jduIp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379730"/>
                        </a:xfrm>
                        <a:prstGeom prst="rect">
                          <a:avLst/>
                        </a:prstGeom>
                        <a:noFill/>
                        <a:ln>
                          <a:noFill/>
                        </a:ln>
                      </pic:spPr>
                    </pic:pic>
                  </a:graphicData>
                </a:graphic>
              </wp:inline>
            </w:drawing>
          </w:r>
        </w:p>
      </w:tc>
      <w:tc>
        <w:tcPr>
          <w:tcW w:w="6428" w:type="dxa"/>
          <w:tcBorders>
            <w:bottom w:val="dotted" w:sz="4" w:space="0" w:color="auto"/>
          </w:tcBorders>
          <w:shd w:val="pct5" w:color="000000" w:fill="FFFFFF"/>
          <w:vAlign w:val="center"/>
        </w:tcPr>
        <w:p w14:paraId="11E79F63" w14:textId="77777777" w:rsidR="005549A1" w:rsidRPr="00585D62" w:rsidRDefault="005549A1" w:rsidP="00056D07">
          <w:pPr>
            <w:pStyle w:val="Nagybetscm"/>
            <w:rPr>
              <w:rFonts w:ascii="Arial" w:hAnsi="Arial" w:cs="Arial"/>
              <w:noProof w:val="0"/>
              <w:sz w:val="22"/>
              <w:szCs w:val="22"/>
            </w:rPr>
          </w:pPr>
        </w:p>
      </w:tc>
      <w:tc>
        <w:tcPr>
          <w:tcW w:w="1951" w:type="dxa"/>
          <w:tcBorders>
            <w:left w:val="dotted" w:sz="4" w:space="0" w:color="auto"/>
            <w:bottom w:val="dotted" w:sz="4" w:space="0" w:color="auto"/>
          </w:tcBorders>
          <w:shd w:val="pct5" w:color="000000" w:fill="FFFFFF"/>
          <w:vAlign w:val="center"/>
        </w:tcPr>
        <w:p w14:paraId="7DDA5714" w14:textId="77777777" w:rsidR="005549A1" w:rsidRPr="00585D62" w:rsidRDefault="005549A1" w:rsidP="00056D07">
          <w:pPr>
            <w:pStyle w:val="Tblzatoszlopfej"/>
            <w:rPr>
              <w:rFonts w:ascii="Arial" w:hAnsi="Arial" w:cs="Arial"/>
              <w:sz w:val="20"/>
              <w:szCs w:val="20"/>
            </w:rPr>
          </w:pPr>
          <w:r>
            <w:rPr>
              <w:rFonts w:ascii="Arial" w:hAnsi="Arial"/>
              <w:sz w:val="20"/>
              <w:szCs w:val="20"/>
            </w:rPr>
            <w:t>Version</w:t>
          </w:r>
        </w:p>
      </w:tc>
    </w:tr>
    <w:tr w:rsidR="005549A1" w14:paraId="7F1ED267" w14:textId="77777777" w:rsidTr="005549A1">
      <w:trPr>
        <w:cantSplit/>
        <w:trHeight w:hRule="exact" w:val="972"/>
      </w:trPr>
      <w:tc>
        <w:tcPr>
          <w:tcW w:w="1828" w:type="dxa"/>
          <w:vMerge/>
        </w:tcPr>
        <w:p w14:paraId="3907BB12" w14:textId="77777777" w:rsidR="005549A1" w:rsidRDefault="005549A1" w:rsidP="00056D07">
          <w:pPr>
            <w:spacing w:before="60"/>
            <w:jc w:val="center"/>
            <w:rPr>
              <w:b/>
              <w:sz w:val="14"/>
            </w:rPr>
          </w:pPr>
        </w:p>
      </w:tc>
      <w:tc>
        <w:tcPr>
          <w:tcW w:w="6428" w:type="dxa"/>
          <w:tcBorders>
            <w:top w:val="dotted" w:sz="4" w:space="0" w:color="auto"/>
            <w:bottom w:val="single" w:sz="4" w:space="0" w:color="auto"/>
          </w:tcBorders>
          <w:shd w:val="clear" w:color="000000" w:fill="FFFFFF"/>
          <w:vAlign w:val="center"/>
        </w:tcPr>
        <w:p w14:paraId="78A07E99" w14:textId="77777777" w:rsidR="005549A1" w:rsidRPr="00585D62" w:rsidRDefault="00BF0CEE" w:rsidP="00056D07">
          <w:pPr>
            <w:spacing w:after="0"/>
            <w:jc w:val="center"/>
            <w:rPr>
              <w:rFonts w:ascii="Arial" w:hAnsi="Arial" w:cs="Arial"/>
              <w:b/>
              <w:caps/>
              <w:sz w:val="28"/>
              <w:szCs w:val="28"/>
            </w:rPr>
          </w:pPr>
          <w:r>
            <w:rPr>
              <w:rFonts w:ascii="Arial" w:hAnsi="Arial"/>
              <w:b/>
              <w:caps/>
              <w:sz w:val="28"/>
              <w:szCs w:val="28"/>
            </w:rPr>
            <w:t>SUPPLIER</w:t>
          </w:r>
          <w:r>
            <w:rPr>
              <w:rFonts w:ascii="Arial" w:hAnsi="Arial"/>
              <w:b/>
              <w:caps/>
              <w:color w:val="FF0000"/>
              <w:sz w:val="28"/>
              <w:szCs w:val="28"/>
            </w:rPr>
            <w:t xml:space="preserve"> </w:t>
          </w:r>
          <w:r>
            <w:rPr>
              <w:rFonts w:ascii="Arial" w:hAnsi="Arial"/>
              <w:b/>
              <w:caps/>
              <w:sz w:val="28"/>
              <w:szCs w:val="28"/>
            </w:rPr>
            <w:t>AGREEMENT</w:t>
          </w:r>
        </w:p>
      </w:tc>
      <w:tc>
        <w:tcPr>
          <w:tcW w:w="1951" w:type="dxa"/>
          <w:tcBorders>
            <w:top w:val="dotted" w:sz="4" w:space="0" w:color="auto"/>
            <w:left w:val="dotted" w:sz="4" w:space="0" w:color="auto"/>
          </w:tcBorders>
          <w:vAlign w:val="center"/>
        </w:tcPr>
        <w:p w14:paraId="4025A459" w14:textId="77777777" w:rsidR="005549A1" w:rsidRPr="004D6906" w:rsidRDefault="00571EDD" w:rsidP="00056D07">
          <w:pPr>
            <w:pStyle w:val="Nagybetscm"/>
            <w:rPr>
              <w:rFonts w:ascii="Arial" w:hAnsi="Arial" w:cs="Arial"/>
              <w:color w:val="0000FF"/>
            </w:rPr>
          </w:pPr>
          <w:r>
            <w:rPr>
              <w:rFonts w:ascii="Arial" w:hAnsi="Arial"/>
            </w:rPr>
            <w:t>3</w:t>
          </w:r>
        </w:p>
      </w:tc>
    </w:tr>
  </w:tbl>
  <w:p w14:paraId="5C7AC515" w14:textId="77777777" w:rsidR="005549A1" w:rsidRDefault="005549A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A64"/>
    <w:rsid w:val="000C35A4"/>
    <w:rsid w:val="000D7FB1"/>
    <w:rsid w:val="00160164"/>
    <w:rsid w:val="0025719C"/>
    <w:rsid w:val="00342954"/>
    <w:rsid w:val="00375DB0"/>
    <w:rsid w:val="003D4A4D"/>
    <w:rsid w:val="00425F02"/>
    <w:rsid w:val="00456445"/>
    <w:rsid w:val="00480C6D"/>
    <w:rsid w:val="004C4476"/>
    <w:rsid w:val="005549A1"/>
    <w:rsid w:val="00571EDD"/>
    <w:rsid w:val="00594570"/>
    <w:rsid w:val="007F6877"/>
    <w:rsid w:val="008177B9"/>
    <w:rsid w:val="008274E2"/>
    <w:rsid w:val="00975152"/>
    <w:rsid w:val="00A473C2"/>
    <w:rsid w:val="00B67824"/>
    <w:rsid w:val="00B708D2"/>
    <w:rsid w:val="00BC5BA6"/>
    <w:rsid w:val="00BF0CEE"/>
    <w:rsid w:val="00C65395"/>
    <w:rsid w:val="00D8303E"/>
    <w:rsid w:val="00E70A64"/>
    <w:rsid w:val="00F4701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549A1"/>
    <w:pPr>
      <w:spacing w:after="12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oszlopfej">
    <w:name w:val="Táblázat oszlopfej"/>
    <w:basedOn w:val="Norml"/>
    <w:rsid w:val="005549A1"/>
    <w:pPr>
      <w:spacing w:after="0"/>
      <w:jc w:val="center"/>
    </w:pPr>
    <w:rPr>
      <w:b/>
      <w:bCs/>
      <w:sz w:val="22"/>
      <w:szCs w:val="22"/>
    </w:rPr>
  </w:style>
  <w:style w:type="paragraph" w:customStyle="1" w:styleId="Nagybetscm">
    <w:name w:val="Nagybetűs cím"/>
    <w:basedOn w:val="Norml"/>
    <w:rsid w:val="005549A1"/>
    <w:pPr>
      <w:spacing w:after="0"/>
      <w:jc w:val="center"/>
    </w:pPr>
    <w:rPr>
      <w:b/>
      <w:caps/>
      <w:noProof/>
      <w:sz w:val="28"/>
    </w:rPr>
  </w:style>
  <w:style w:type="paragraph" w:styleId="Buborkszveg">
    <w:name w:val="Balloon Text"/>
    <w:basedOn w:val="Norml"/>
    <w:link w:val="BuborkszvegChar"/>
    <w:uiPriority w:val="99"/>
    <w:semiHidden/>
    <w:unhideWhenUsed/>
    <w:rsid w:val="005549A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49A1"/>
    <w:rPr>
      <w:rFonts w:ascii="Tahoma" w:eastAsia="Times New Roman" w:hAnsi="Tahoma" w:cs="Tahoma"/>
      <w:sz w:val="16"/>
      <w:szCs w:val="16"/>
      <w:lang w:eastAsia="hu-HU"/>
    </w:rPr>
  </w:style>
  <w:style w:type="paragraph" w:styleId="lfej">
    <w:name w:val="header"/>
    <w:basedOn w:val="Norml"/>
    <w:link w:val="lfejChar"/>
    <w:uiPriority w:val="99"/>
    <w:unhideWhenUsed/>
    <w:rsid w:val="005549A1"/>
    <w:pPr>
      <w:tabs>
        <w:tab w:val="center" w:pos="4536"/>
        <w:tab w:val="right" w:pos="9072"/>
      </w:tabs>
      <w:spacing w:after="0"/>
    </w:pPr>
  </w:style>
  <w:style w:type="character" w:customStyle="1" w:styleId="lfejChar">
    <w:name w:val="Élőfej Char"/>
    <w:basedOn w:val="Bekezdsalapbettpusa"/>
    <w:link w:val="lfej"/>
    <w:uiPriority w:val="99"/>
    <w:rsid w:val="005549A1"/>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5549A1"/>
    <w:pPr>
      <w:tabs>
        <w:tab w:val="center" w:pos="4536"/>
        <w:tab w:val="right" w:pos="9072"/>
      </w:tabs>
      <w:spacing w:after="0"/>
    </w:pPr>
  </w:style>
  <w:style w:type="character" w:customStyle="1" w:styleId="llbChar">
    <w:name w:val="Élőláb Char"/>
    <w:basedOn w:val="Bekezdsalapbettpusa"/>
    <w:link w:val="llb"/>
    <w:uiPriority w:val="99"/>
    <w:rsid w:val="005549A1"/>
    <w:rPr>
      <w:rFonts w:ascii="Times New Roman" w:eastAsia="Times New Roman" w:hAnsi="Times New Roman" w:cs="Times New Roman"/>
      <w:sz w:val="24"/>
      <w:szCs w:val="20"/>
      <w:lang w:eastAsia="hu-HU"/>
    </w:rPr>
  </w:style>
  <w:style w:type="table" w:styleId="Rcsostblzat">
    <w:name w:val="Table Grid"/>
    <w:basedOn w:val="Normltblzat"/>
    <w:uiPriority w:val="59"/>
    <w:rsid w:val="0055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473C2"/>
    <w:rPr>
      <w:color w:val="0000FF" w:themeColor="hyperlink"/>
      <w:u w:val="single"/>
    </w:rPr>
  </w:style>
  <w:style w:type="character" w:customStyle="1" w:styleId="Feloldatlanmegemlts1">
    <w:name w:val="Feloldatlan megemlítés1"/>
    <w:basedOn w:val="Bekezdsalapbettpusa"/>
    <w:uiPriority w:val="99"/>
    <w:semiHidden/>
    <w:unhideWhenUsed/>
    <w:rsid w:val="00A4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jdurt.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1686</Characters>
  <Application>Microsoft Office Word</Application>
  <DocSecurity>0</DocSecurity>
  <Lines>14</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2022-01-28T11:03:00Z</dcterms:created>
  <dcterms:modified xsi:type="dcterms:W3CDTF">2022-01-30T14:57:00Z</dcterms:modified>
</cp:coreProperties>
</file>